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05" w:rsidRDefault="00CA6605" w:rsidP="00CA6605">
      <w:pPr>
        <w:suppressAutoHyphens/>
        <w:jc w:val="center"/>
        <w:rPr>
          <w:szCs w:val="20"/>
          <w:lang w:val="uk-UA" w:eastAsia="zh-CN"/>
        </w:rPr>
      </w:pPr>
      <w:r>
        <w:rPr>
          <w:b/>
          <w:sz w:val="32"/>
          <w:szCs w:val="32"/>
          <w:lang w:val="uk-UA" w:eastAsia="zh-CN"/>
        </w:rPr>
        <w:t>Інформація про підсумок конкурсу з відбору суб’єктів</w:t>
      </w:r>
    </w:p>
    <w:p w:rsidR="00CA6605" w:rsidRDefault="00CA6605" w:rsidP="00CA6605">
      <w:pPr>
        <w:suppressAutoHyphens/>
        <w:ind w:left="-540" w:firstLine="540"/>
        <w:jc w:val="center"/>
        <w:rPr>
          <w:szCs w:val="20"/>
          <w:lang w:val="uk-UA" w:eastAsia="zh-CN"/>
        </w:rPr>
      </w:pPr>
      <w:r>
        <w:rPr>
          <w:b/>
          <w:sz w:val="32"/>
          <w:szCs w:val="32"/>
          <w:lang w:val="uk-UA" w:eastAsia="zh-CN"/>
        </w:rPr>
        <w:t>оціночної діяльності, які будуть залучені до проведення</w:t>
      </w:r>
    </w:p>
    <w:p w:rsidR="00CA6605" w:rsidRDefault="00CA6605" w:rsidP="00CA6605">
      <w:pPr>
        <w:suppressAutoHyphens/>
        <w:ind w:left="-540" w:firstLine="540"/>
        <w:jc w:val="center"/>
        <w:rPr>
          <w:szCs w:val="20"/>
          <w:lang w:val="uk-UA" w:eastAsia="zh-CN"/>
        </w:rPr>
      </w:pPr>
      <w:r>
        <w:rPr>
          <w:b/>
          <w:sz w:val="32"/>
          <w:szCs w:val="32"/>
          <w:lang w:val="uk-UA" w:eastAsia="zh-CN"/>
        </w:rPr>
        <w:t>незалежної оцінки земельних ділянок міської комунальної</w:t>
      </w:r>
    </w:p>
    <w:p w:rsidR="00CA6605" w:rsidRDefault="00CA6605" w:rsidP="00CA6605">
      <w:pPr>
        <w:tabs>
          <w:tab w:val="left" w:pos="1080"/>
        </w:tabs>
        <w:suppressAutoHyphens/>
        <w:ind w:firstLine="720"/>
        <w:jc w:val="center"/>
        <w:rPr>
          <w:szCs w:val="20"/>
          <w:lang w:val="uk-UA" w:eastAsia="zh-CN"/>
        </w:rPr>
      </w:pPr>
      <w:r>
        <w:rPr>
          <w:b/>
          <w:sz w:val="32"/>
          <w:szCs w:val="32"/>
          <w:lang w:val="uk-UA" w:eastAsia="zh-CN"/>
        </w:rPr>
        <w:t>власності, який відбувся 05</w:t>
      </w:r>
      <w:bookmarkStart w:id="0" w:name="_GoBack"/>
      <w:bookmarkEnd w:id="0"/>
      <w:r>
        <w:rPr>
          <w:b/>
          <w:sz w:val="32"/>
          <w:szCs w:val="32"/>
          <w:lang w:val="uk-UA" w:eastAsia="zh-CN"/>
        </w:rPr>
        <w:t xml:space="preserve"> червня 2018 року</w:t>
      </w:r>
    </w:p>
    <w:p w:rsidR="00CA6605" w:rsidRDefault="00CA6605" w:rsidP="00CA6605">
      <w:pPr>
        <w:tabs>
          <w:tab w:val="left" w:pos="1080"/>
        </w:tabs>
        <w:suppressAutoHyphens/>
        <w:ind w:firstLine="720"/>
        <w:jc w:val="both"/>
        <w:rPr>
          <w:sz w:val="28"/>
          <w:szCs w:val="20"/>
          <w:lang w:val="uk-UA" w:eastAsia="zh-CN"/>
        </w:rPr>
      </w:pPr>
    </w:p>
    <w:tbl>
      <w:tblPr>
        <w:tblW w:w="10530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424"/>
        <w:gridCol w:w="2980"/>
        <w:gridCol w:w="1135"/>
        <w:gridCol w:w="2837"/>
        <w:gridCol w:w="1412"/>
        <w:gridCol w:w="1742"/>
      </w:tblGrid>
      <w:tr w:rsidR="00CA6605" w:rsidTr="00CA6605">
        <w:trPr>
          <w:trHeight w:val="11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  <w:r>
              <w:rPr>
                <w:sz w:val="28"/>
                <w:szCs w:val="20"/>
                <w:lang w:val="uk-UA" w:eastAsia="zh-CN"/>
              </w:rPr>
              <w:t>№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Назва об′єкта оцінки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Площа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Адреса об′єкта 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оцінки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Мета оцінки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Вартість та строк виконання робіт з оцінки, грн..</w:t>
            </w:r>
          </w:p>
        </w:tc>
      </w:tr>
      <w:tr w:rsidR="00CA6605" w:rsidTr="00CA660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0"/>
                <w:lang w:val="uk-UA" w:eastAsia="zh-CN"/>
              </w:rPr>
            </w:pPr>
            <w:r>
              <w:rPr>
                <w:sz w:val="28"/>
                <w:szCs w:val="20"/>
                <w:lang w:val="uk-UA" w:eastAsia="zh-CN"/>
              </w:rPr>
              <w:t>1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0"/>
                <w:lang w:val="uk-UA" w:eastAsia="zh-CN"/>
              </w:rPr>
            </w:pPr>
            <w:r>
              <w:rPr>
                <w:sz w:val="28"/>
                <w:szCs w:val="20"/>
                <w:lang w:val="uk-UA" w:eastAsia="zh-CN"/>
              </w:rPr>
              <w:t>2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0"/>
                <w:lang w:val="uk-UA" w:eastAsia="zh-CN"/>
              </w:rPr>
            </w:pPr>
            <w:r>
              <w:rPr>
                <w:sz w:val="28"/>
                <w:szCs w:val="20"/>
                <w:lang w:val="uk-UA" w:eastAsia="zh-CN"/>
              </w:rPr>
              <w:t>3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 w:val="28"/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  <w:r>
              <w:rPr>
                <w:szCs w:val="20"/>
                <w:lang w:val="uk-UA" w:eastAsia="zh-CN"/>
              </w:rPr>
              <w:t>4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szCs w:val="20"/>
                <w:lang w:val="uk-UA" w:eastAsia="zh-CN"/>
              </w:rPr>
            </w:pPr>
            <w:r>
              <w:rPr>
                <w:szCs w:val="20"/>
                <w:lang w:val="uk-UA" w:eastAsia="zh-CN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Земельна ділянка земель житлової та громадської забудови для будівництва та обслуговування будівель торгівлі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Земельна ділянка земель житлової та громадської забудови для будівництва та обслуговування будівель торгівлі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Земельна ділянка земель промисловості, транспорту, зв</w:t>
            </w:r>
            <w:r>
              <w:rPr>
                <w:lang w:eastAsia="zh-CN"/>
              </w:rPr>
              <w:t>’</w:t>
            </w:r>
            <w:proofErr w:type="spellStart"/>
            <w:r>
              <w:rPr>
                <w:lang w:val="uk-UA" w:eastAsia="zh-CN"/>
              </w:rPr>
              <w:t>язку</w:t>
            </w:r>
            <w:proofErr w:type="spellEnd"/>
            <w:r>
              <w:rPr>
                <w:lang w:val="uk-UA" w:eastAsia="zh-CN"/>
              </w:rPr>
              <w:t>, енергетики, оборони та іншого призначення для розміщення та експлуатації будівель і споруд іншого наземного транспорту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Земельна ділянка земель промисловості, транспорту, зв</w:t>
            </w:r>
            <w:r>
              <w:rPr>
                <w:lang w:eastAsia="zh-CN"/>
              </w:rPr>
              <w:t>’</w:t>
            </w:r>
            <w:proofErr w:type="spellStart"/>
            <w:r>
              <w:rPr>
                <w:lang w:val="uk-UA" w:eastAsia="zh-CN"/>
              </w:rPr>
              <w:t>язку</w:t>
            </w:r>
            <w:proofErr w:type="spellEnd"/>
            <w:r>
              <w:rPr>
                <w:lang w:val="uk-UA" w:eastAsia="zh-CN"/>
              </w:rPr>
              <w:t>, енергетики, оборони та іншого призначення для розміщення та експлуатації будівель і споруд іншого наземного транспорту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Земельна ділянка земель промисловості, транспорту, зв</w:t>
            </w:r>
            <w:r>
              <w:rPr>
                <w:lang w:eastAsia="zh-CN"/>
              </w:rPr>
              <w:t>’</w:t>
            </w:r>
            <w:proofErr w:type="spellStart"/>
            <w:r>
              <w:rPr>
                <w:lang w:val="uk-UA" w:eastAsia="zh-CN"/>
              </w:rPr>
              <w:t>язку</w:t>
            </w:r>
            <w:proofErr w:type="spellEnd"/>
            <w:r>
              <w:rPr>
                <w:lang w:val="uk-UA" w:eastAsia="zh-CN"/>
              </w:rPr>
              <w:t xml:space="preserve">, </w:t>
            </w:r>
            <w:r>
              <w:rPr>
                <w:lang w:val="uk-UA" w:eastAsia="zh-CN"/>
              </w:rPr>
              <w:lastRenderedPageBreak/>
              <w:t>енергетики, оборони та іншого призначення для розміщення та експлуатації будівель і споруд іншого наземного транспорту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lastRenderedPageBreak/>
              <w:t xml:space="preserve">0,0091 га 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0,0021 га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0,7594 га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0,5572 га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1,4150 га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вул. Шевченка, 112/2, </w:t>
            </w:r>
            <w:proofErr w:type="spellStart"/>
            <w:r>
              <w:rPr>
                <w:lang w:val="uk-UA" w:eastAsia="zh-CN"/>
              </w:rPr>
              <w:t>м.Ніжин</w:t>
            </w:r>
            <w:proofErr w:type="spellEnd"/>
            <w:r>
              <w:rPr>
                <w:lang w:val="uk-UA" w:eastAsia="zh-CN"/>
              </w:rPr>
              <w:t xml:space="preserve">, Чернігівська область, на якому розміщено об’єкт нерухомого майна, що є власністю покупця 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вул. Шевченка, 112/2, </w:t>
            </w:r>
            <w:proofErr w:type="spellStart"/>
            <w:r>
              <w:rPr>
                <w:lang w:val="uk-UA" w:eastAsia="zh-CN"/>
              </w:rPr>
              <w:t>м.Ніжин</w:t>
            </w:r>
            <w:proofErr w:type="spellEnd"/>
            <w:r>
              <w:rPr>
                <w:lang w:val="uk-UA" w:eastAsia="zh-CN"/>
              </w:rPr>
              <w:t>, Чернігівська область, на якому розміщено об’єкт нерухомого майна, що є власністю покупця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вул. </w:t>
            </w:r>
            <w:proofErr w:type="spellStart"/>
            <w:r>
              <w:rPr>
                <w:lang w:val="uk-UA" w:eastAsia="zh-CN"/>
              </w:rPr>
              <w:t>Носівський</w:t>
            </w:r>
            <w:proofErr w:type="spellEnd"/>
            <w:r>
              <w:rPr>
                <w:lang w:val="uk-UA" w:eastAsia="zh-CN"/>
              </w:rPr>
              <w:t xml:space="preserve"> шлях, 54ж/1, </w:t>
            </w:r>
            <w:proofErr w:type="spellStart"/>
            <w:r>
              <w:rPr>
                <w:lang w:val="uk-UA" w:eastAsia="zh-CN"/>
              </w:rPr>
              <w:t>м.Ніжин</w:t>
            </w:r>
            <w:proofErr w:type="spellEnd"/>
            <w:r>
              <w:rPr>
                <w:lang w:val="uk-UA" w:eastAsia="zh-CN"/>
              </w:rPr>
              <w:t>, Чернігівська область, на якому розміщено об’єкт нерухомого майна, що є власністю покупця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вул. </w:t>
            </w:r>
            <w:proofErr w:type="spellStart"/>
            <w:r>
              <w:rPr>
                <w:lang w:val="uk-UA" w:eastAsia="zh-CN"/>
              </w:rPr>
              <w:t>Носівський</w:t>
            </w:r>
            <w:proofErr w:type="spellEnd"/>
            <w:r>
              <w:rPr>
                <w:lang w:val="uk-UA" w:eastAsia="zh-CN"/>
              </w:rPr>
              <w:t xml:space="preserve"> шлях, 54/»З», </w:t>
            </w:r>
            <w:proofErr w:type="spellStart"/>
            <w:r>
              <w:rPr>
                <w:lang w:val="uk-UA" w:eastAsia="zh-CN"/>
              </w:rPr>
              <w:t>м.Ніжин</w:t>
            </w:r>
            <w:proofErr w:type="spellEnd"/>
            <w:r>
              <w:rPr>
                <w:lang w:val="uk-UA" w:eastAsia="zh-CN"/>
              </w:rPr>
              <w:t>, Чернігівська область, на якому розміщено об’єкт нерухомого майна, що є власністю покупця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 xml:space="preserve">вул. </w:t>
            </w:r>
            <w:proofErr w:type="spellStart"/>
            <w:r>
              <w:rPr>
                <w:lang w:val="uk-UA" w:eastAsia="zh-CN"/>
              </w:rPr>
              <w:t>Носівський</w:t>
            </w:r>
            <w:proofErr w:type="spellEnd"/>
            <w:r>
              <w:rPr>
                <w:lang w:val="uk-UA" w:eastAsia="zh-CN"/>
              </w:rPr>
              <w:t xml:space="preserve"> шлях, 54ж, </w:t>
            </w:r>
            <w:proofErr w:type="spellStart"/>
            <w:r>
              <w:rPr>
                <w:lang w:val="uk-UA" w:eastAsia="zh-CN"/>
              </w:rPr>
              <w:t>м.Ніжин</w:t>
            </w:r>
            <w:proofErr w:type="spellEnd"/>
            <w:r>
              <w:rPr>
                <w:lang w:val="uk-UA" w:eastAsia="zh-CN"/>
              </w:rPr>
              <w:t xml:space="preserve">, Чернігівська область, на </w:t>
            </w:r>
            <w:r>
              <w:rPr>
                <w:lang w:val="uk-UA" w:eastAsia="zh-CN"/>
              </w:rPr>
              <w:lastRenderedPageBreak/>
              <w:t>якому розміщено об’єкт нерухомого майна, що є власністю покупця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lastRenderedPageBreak/>
              <w:t>викуп земель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proofErr w:type="spellStart"/>
            <w:r>
              <w:rPr>
                <w:lang w:val="uk-UA" w:eastAsia="zh-CN"/>
              </w:rPr>
              <w:t>ної</w:t>
            </w:r>
            <w:proofErr w:type="spellEnd"/>
            <w:r>
              <w:rPr>
                <w:lang w:val="uk-UA" w:eastAsia="zh-CN"/>
              </w:rPr>
              <w:t xml:space="preserve"> ділянки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викуп земель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proofErr w:type="spellStart"/>
            <w:r>
              <w:rPr>
                <w:lang w:val="uk-UA" w:eastAsia="zh-CN"/>
              </w:rPr>
              <w:t>ної</w:t>
            </w:r>
            <w:proofErr w:type="spellEnd"/>
            <w:r>
              <w:rPr>
                <w:lang w:val="uk-UA" w:eastAsia="zh-CN"/>
              </w:rPr>
              <w:t xml:space="preserve"> ділянки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викуп земель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proofErr w:type="spellStart"/>
            <w:r>
              <w:rPr>
                <w:lang w:val="uk-UA" w:eastAsia="zh-CN"/>
              </w:rPr>
              <w:t>ної</w:t>
            </w:r>
            <w:proofErr w:type="spellEnd"/>
            <w:r>
              <w:rPr>
                <w:lang w:val="uk-UA" w:eastAsia="zh-CN"/>
              </w:rPr>
              <w:t xml:space="preserve"> ділянки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викуп земель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proofErr w:type="spellStart"/>
            <w:r>
              <w:rPr>
                <w:lang w:val="uk-UA" w:eastAsia="zh-CN"/>
              </w:rPr>
              <w:t>ної</w:t>
            </w:r>
            <w:proofErr w:type="spellEnd"/>
            <w:r>
              <w:rPr>
                <w:lang w:val="uk-UA" w:eastAsia="zh-CN"/>
              </w:rPr>
              <w:t xml:space="preserve"> ділянки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викуп земель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proofErr w:type="spellStart"/>
            <w:r>
              <w:rPr>
                <w:lang w:val="uk-UA" w:eastAsia="zh-CN"/>
              </w:rPr>
              <w:t>ної</w:t>
            </w:r>
            <w:proofErr w:type="spellEnd"/>
            <w:r>
              <w:rPr>
                <w:lang w:val="uk-UA" w:eastAsia="zh-CN"/>
              </w:rPr>
              <w:t xml:space="preserve"> ділянки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4681,00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грн.,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20 календар-них днів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4681,00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грн.,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20 календар-них днів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7000,00 грн.,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20 календар-них днів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7000,00 грн.,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20 календар-них днів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7000,00 грн.,</w:t>
            </w:r>
          </w:p>
          <w:p w:rsidR="00CA6605" w:rsidRDefault="00CA6605">
            <w:pPr>
              <w:tabs>
                <w:tab w:val="left" w:pos="1080"/>
              </w:tabs>
              <w:suppressAutoHyphens/>
              <w:jc w:val="both"/>
              <w:rPr>
                <w:lang w:val="uk-UA" w:eastAsia="zh-CN"/>
              </w:rPr>
            </w:pPr>
            <w:r>
              <w:rPr>
                <w:lang w:val="uk-UA" w:eastAsia="zh-CN"/>
              </w:rPr>
              <w:t>20 календар-них днів</w:t>
            </w:r>
          </w:p>
        </w:tc>
      </w:tr>
    </w:tbl>
    <w:p w:rsidR="00CA6605" w:rsidRDefault="00CA6605" w:rsidP="00CA6605">
      <w:pPr>
        <w:tabs>
          <w:tab w:val="left" w:pos="1080"/>
        </w:tabs>
        <w:suppressAutoHyphens/>
        <w:jc w:val="both"/>
        <w:rPr>
          <w:sz w:val="28"/>
          <w:szCs w:val="28"/>
          <w:lang w:val="uk-UA" w:eastAsia="zh-CN"/>
        </w:rPr>
      </w:pPr>
    </w:p>
    <w:p w:rsidR="00CA6605" w:rsidRDefault="00CA6605" w:rsidP="00CA6605">
      <w:pPr>
        <w:tabs>
          <w:tab w:val="left" w:pos="1080"/>
        </w:tabs>
        <w:suppressAutoHyphens/>
        <w:jc w:val="both"/>
        <w:rPr>
          <w:sz w:val="28"/>
          <w:szCs w:val="28"/>
          <w:lang w:val="uk-UA" w:eastAsia="zh-CN"/>
        </w:rPr>
      </w:pPr>
    </w:p>
    <w:p w:rsidR="00CA6605" w:rsidRDefault="00CA6605" w:rsidP="00CA6605">
      <w:pPr>
        <w:tabs>
          <w:tab w:val="left" w:pos="1080"/>
        </w:tabs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   За результатами конкурсу з відбору суб’єктів оціночної діяльності по земельній ділянці  за </w:t>
      </w:r>
      <w:proofErr w:type="spellStart"/>
      <w:r>
        <w:rPr>
          <w:sz w:val="28"/>
          <w:szCs w:val="28"/>
          <w:lang w:val="uk-UA" w:eastAsia="zh-CN"/>
        </w:rPr>
        <w:t>адресою</w:t>
      </w:r>
      <w:proofErr w:type="spellEnd"/>
      <w:r>
        <w:rPr>
          <w:sz w:val="28"/>
          <w:szCs w:val="28"/>
          <w:lang w:val="uk-UA" w:eastAsia="zh-CN"/>
        </w:rPr>
        <w:t xml:space="preserve">: вул. Шевченка, 112/2, </w:t>
      </w:r>
      <w:proofErr w:type="spellStart"/>
      <w:r>
        <w:rPr>
          <w:sz w:val="28"/>
          <w:szCs w:val="28"/>
          <w:lang w:val="uk-UA" w:eastAsia="zh-CN"/>
        </w:rPr>
        <w:t>м.Ніжин</w:t>
      </w:r>
      <w:proofErr w:type="spellEnd"/>
      <w:r>
        <w:rPr>
          <w:sz w:val="28"/>
          <w:szCs w:val="28"/>
          <w:lang w:val="uk-UA" w:eastAsia="zh-CN"/>
        </w:rPr>
        <w:t xml:space="preserve">, Чернігівська область, площа 0,0091 га, переможцем визнано товариство з обмеженою відповідальністю виробничо-комерційна фірма «Гарант-В», </w:t>
      </w:r>
    </w:p>
    <w:p w:rsidR="00CA6605" w:rsidRDefault="00CA6605" w:rsidP="00CA6605">
      <w:pPr>
        <w:tabs>
          <w:tab w:val="left" w:pos="1080"/>
        </w:tabs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   по земельній ділянці за </w:t>
      </w:r>
      <w:proofErr w:type="spellStart"/>
      <w:r>
        <w:rPr>
          <w:sz w:val="28"/>
          <w:szCs w:val="28"/>
          <w:lang w:val="uk-UA" w:eastAsia="zh-CN"/>
        </w:rPr>
        <w:t>адресою</w:t>
      </w:r>
      <w:proofErr w:type="spellEnd"/>
      <w:r>
        <w:rPr>
          <w:sz w:val="28"/>
          <w:szCs w:val="28"/>
          <w:lang w:val="uk-UA" w:eastAsia="zh-CN"/>
        </w:rPr>
        <w:t>: вул. Шевченка, 112/2, м. Ніжин, Чернігівська область, площа 0,0021 га, переможцем визнано товариство з обмеженою відповідальністю виробничо-комерційна фірма «Гарант-В»;</w:t>
      </w:r>
    </w:p>
    <w:p w:rsidR="00CA6605" w:rsidRDefault="00CA6605" w:rsidP="00CA6605">
      <w:pPr>
        <w:tabs>
          <w:tab w:val="left" w:pos="1080"/>
        </w:tabs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   по земельній ділянці за </w:t>
      </w:r>
      <w:proofErr w:type="spellStart"/>
      <w:r>
        <w:rPr>
          <w:sz w:val="28"/>
          <w:szCs w:val="28"/>
          <w:lang w:val="uk-UA" w:eastAsia="zh-CN"/>
        </w:rPr>
        <w:t>адресою</w:t>
      </w:r>
      <w:proofErr w:type="spellEnd"/>
      <w:r>
        <w:rPr>
          <w:sz w:val="28"/>
          <w:szCs w:val="28"/>
          <w:lang w:val="uk-UA" w:eastAsia="zh-CN"/>
        </w:rPr>
        <w:t xml:space="preserve">: вул. </w:t>
      </w:r>
      <w:proofErr w:type="spellStart"/>
      <w:r>
        <w:rPr>
          <w:sz w:val="28"/>
          <w:szCs w:val="28"/>
          <w:lang w:val="uk-UA" w:eastAsia="zh-CN"/>
        </w:rPr>
        <w:t>Носівський</w:t>
      </w:r>
      <w:proofErr w:type="spellEnd"/>
      <w:r>
        <w:rPr>
          <w:sz w:val="28"/>
          <w:szCs w:val="28"/>
          <w:lang w:val="uk-UA" w:eastAsia="zh-CN"/>
        </w:rPr>
        <w:t xml:space="preserve"> шлях, 54ж/1, м. Ніжин Чернігівська область, площа 0,7594 га, переможцем визнано товариство з обмеженою відповідальністю виробничо-комерційна фірма «Гарант-В»;</w:t>
      </w:r>
    </w:p>
    <w:p w:rsidR="00CA6605" w:rsidRDefault="00CA6605" w:rsidP="00CA6605">
      <w:pPr>
        <w:tabs>
          <w:tab w:val="left" w:pos="1080"/>
        </w:tabs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    по земельній ділянці за </w:t>
      </w:r>
      <w:proofErr w:type="spellStart"/>
      <w:r>
        <w:rPr>
          <w:sz w:val="28"/>
          <w:szCs w:val="28"/>
          <w:lang w:val="uk-UA" w:eastAsia="zh-CN"/>
        </w:rPr>
        <w:t>адресою</w:t>
      </w:r>
      <w:proofErr w:type="spellEnd"/>
      <w:r>
        <w:rPr>
          <w:sz w:val="28"/>
          <w:szCs w:val="28"/>
          <w:lang w:val="uk-UA" w:eastAsia="zh-CN"/>
        </w:rPr>
        <w:t xml:space="preserve">: вул. </w:t>
      </w:r>
      <w:proofErr w:type="spellStart"/>
      <w:r>
        <w:rPr>
          <w:sz w:val="28"/>
          <w:szCs w:val="28"/>
          <w:lang w:val="uk-UA" w:eastAsia="zh-CN"/>
        </w:rPr>
        <w:t>Носівський</w:t>
      </w:r>
      <w:proofErr w:type="spellEnd"/>
      <w:r>
        <w:rPr>
          <w:sz w:val="28"/>
          <w:szCs w:val="28"/>
          <w:lang w:val="uk-UA" w:eastAsia="zh-CN"/>
        </w:rPr>
        <w:t xml:space="preserve"> шлях, 54/»З», м. Ніжин Чернігівська область, площа 0,5572 га, переможцем визнано товариство з обмеженою відповідальністю виробничо-комерційна фірма «Гарант-В»;                                                                      </w:t>
      </w:r>
    </w:p>
    <w:p w:rsidR="00CA6605" w:rsidRDefault="00CA6605" w:rsidP="00CA6605">
      <w:pPr>
        <w:tabs>
          <w:tab w:val="left" w:pos="1080"/>
        </w:tabs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       по земельній ділянці за </w:t>
      </w:r>
      <w:proofErr w:type="spellStart"/>
      <w:r>
        <w:rPr>
          <w:sz w:val="28"/>
          <w:szCs w:val="28"/>
          <w:lang w:val="uk-UA" w:eastAsia="zh-CN"/>
        </w:rPr>
        <w:t>адресою</w:t>
      </w:r>
      <w:proofErr w:type="spellEnd"/>
      <w:r>
        <w:rPr>
          <w:sz w:val="28"/>
          <w:szCs w:val="28"/>
          <w:lang w:val="uk-UA" w:eastAsia="zh-CN"/>
        </w:rPr>
        <w:t xml:space="preserve">: вул. </w:t>
      </w:r>
      <w:proofErr w:type="spellStart"/>
      <w:r>
        <w:rPr>
          <w:sz w:val="28"/>
          <w:szCs w:val="28"/>
          <w:lang w:val="uk-UA" w:eastAsia="zh-CN"/>
        </w:rPr>
        <w:t>Носівський</w:t>
      </w:r>
      <w:proofErr w:type="spellEnd"/>
      <w:r>
        <w:rPr>
          <w:sz w:val="28"/>
          <w:szCs w:val="28"/>
          <w:lang w:val="uk-UA" w:eastAsia="zh-CN"/>
        </w:rPr>
        <w:t xml:space="preserve"> шлях, 54ж, </w:t>
      </w:r>
      <w:proofErr w:type="spellStart"/>
      <w:r>
        <w:rPr>
          <w:sz w:val="28"/>
          <w:szCs w:val="28"/>
          <w:lang w:val="uk-UA" w:eastAsia="zh-CN"/>
        </w:rPr>
        <w:t>м.Ніжин</w:t>
      </w:r>
      <w:proofErr w:type="spellEnd"/>
      <w:r>
        <w:rPr>
          <w:sz w:val="28"/>
          <w:szCs w:val="28"/>
          <w:lang w:val="uk-UA" w:eastAsia="zh-CN"/>
        </w:rPr>
        <w:t xml:space="preserve"> Чернігівська область, площа 1,4150 га, переможцем визнано товариство з обмеженою відповідальністю виробничо-комерційна фірма «Гарант-В». </w:t>
      </w:r>
    </w:p>
    <w:p w:rsidR="00CA6605" w:rsidRDefault="00CA6605" w:rsidP="00CA6605">
      <w:pPr>
        <w:tabs>
          <w:tab w:val="left" w:pos="1080"/>
        </w:tabs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  </w:t>
      </w:r>
    </w:p>
    <w:p w:rsidR="00CA6605" w:rsidRDefault="00CA6605" w:rsidP="00CA6605">
      <w:pPr>
        <w:ind w:left="4956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Конкурсна комісія з відбору суб’єктів  оціночної  діяльності</w:t>
      </w:r>
    </w:p>
    <w:p w:rsidR="00272E50" w:rsidRPr="00CA6605" w:rsidRDefault="00272E50" w:rsidP="00CA6605">
      <w:pPr>
        <w:rPr>
          <w:lang w:val="uk-UA"/>
        </w:rPr>
      </w:pPr>
    </w:p>
    <w:sectPr w:rsidR="00272E50" w:rsidRPr="00CA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90"/>
    <w:rsid w:val="00216194"/>
    <w:rsid w:val="00272E50"/>
    <w:rsid w:val="003A776C"/>
    <w:rsid w:val="00406F5A"/>
    <w:rsid w:val="005F7190"/>
    <w:rsid w:val="006F4D1D"/>
    <w:rsid w:val="00996C10"/>
    <w:rsid w:val="00CA6605"/>
    <w:rsid w:val="00E45B0E"/>
    <w:rsid w:val="00EC6AF8"/>
    <w:rsid w:val="00E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2062"/>
  <w15:chartTrackingRefBased/>
  <w15:docId w15:val="{7D9DB5EA-BFEA-41E3-9A1F-77BA17F9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B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B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2018-04-19T06:17:00Z</cp:lastPrinted>
  <dcterms:created xsi:type="dcterms:W3CDTF">2018-04-19T05:37:00Z</dcterms:created>
  <dcterms:modified xsi:type="dcterms:W3CDTF">2018-06-06T13:41:00Z</dcterms:modified>
</cp:coreProperties>
</file>